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3885A" w14:textId="77777777" w:rsidR="00D1038B" w:rsidRPr="00203694" w:rsidRDefault="00D1038B" w:rsidP="00B52349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val="pl-PL" w:eastAsia="pl-PL"/>
        </w:rPr>
      </w:pPr>
      <w:r w:rsidRPr="00203694">
        <w:rPr>
          <w:rFonts w:ascii="Calibri" w:eastAsia="Times New Roman" w:hAnsi="Calibri" w:cs="Calibri"/>
          <w:sz w:val="50"/>
          <w:szCs w:val="50"/>
          <w:lang w:val="pl-PL" w:eastAsia="pl-PL"/>
        </w:rPr>
        <w:t>INSTRUKCJA BHP</w:t>
      </w:r>
    </w:p>
    <w:p w14:paraId="7D92AD86" w14:textId="77777777" w:rsidR="00D1038B" w:rsidRPr="00203694" w:rsidRDefault="00D1038B" w:rsidP="00B52349">
      <w:pPr>
        <w:spacing w:after="0" w:line="240" w:lineRule="auto"/>
        <w:jc w:val="center"/>
        <w:rPr>
          <w:rFonts w:ascii="Calibri" w:eastAsia="Times New Roman" w:hAnsi="Calibri" w:cs="Calibri"/>
          <w:sz w:val="35"/>
          <w:szCs w:val="35"/>
          <w:lang w:val="pl-PL" w:eastAsia="pl-PL"/>
        </w:rPr>
      </w:pPr>
      <w:r w:rsidRPr="00203694">
        <w:rPr>
          <w:rFonts w:ascii="Calibri" w:eastAsia="Times New Roman" w:hAnsi="Calibri" w:cs="Calibri"/>
          <w:sz w:val="35"/>
          <w:szCs w:val="35"/>
          <w:lang w:val="pl-PL" w:eastAsia="pl-PL"/>
        </w:rPr>
        <w:t>PRZY OBSŁUDZE AGREGATU PRĄDOTWÓRCZEGO</w:t>
      </w:r>
    </w:p>
    <w:p w14:paraId="7F17DCCB" w14:textId="77777777" w:rsidR="00B52349" w:rsidRPr="00203694" w:rsidRDefault="00B52349" w:rsidP="00D1038B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517E6655" w14:textId="77777777" w:rsidR="00556173" w:rsidRPr="00203694" w:rsidRDefault="00556173" w:rsidP="00D1038B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7928BE31" w14:textId="77777777" w:rsidR="00556173" w:rsidRPr="00203694" w:rsidRDefault="00556173" w:rsidP="00556173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lang w:val="pl-PL" w:eastAsia="pl-PL"/>
        </w:rPr>
      </w:pPr>
      <w:r w:rsidRPr="00203694">
        <w:rPr>
          <w:rFonts w:ascii="Calibri" w:eastAsia="Times New Roman" w:hAnsi="Calibri" w:cs="Calibri"/>
          <w:b/>
          <w:lang w:val="pl-PL" w:eastAsia="pl-PL"/>
        </w:rPr>
        <w:t>UWAGI OGÓLNE</w:t>
      </w:r>
    </w:p>
    <w:p w14:paraId="2B154C8C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Do obsługi agregatu może przystąpić pracownik, który:</w:t>
      </w:r>
    </w:p>
    <w:p w14:paraId="6B265C51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1.Posiada aktualne przeszkolenie z zakresu BHP.</w:t>
      </w:r>
    </w:p>
    <w:p w14:paraId="39B077E0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2.Posiada dobry stan zdrowia potwierdzony zaświadczeniem lekarskim lekarza medycyny pracy.</w:t>
      </w:r>
    </w:p>
    <w:p w14:paraId="41F3AE4E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3.Jest zapoznany z dokumentacją Techniczno - Ruchową lub instrukcją obsługi danego urządzenia.</w:t>
      </w:r>
    </w:p>
    <w:p w14:paraId="3C72CFB0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4.Uzyskał zezwolenie na pracę od przełożonego.</w:t>
      </w:r>
    </w:p>
    <w:p w14:paraId="1B965540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5.Stosuje ubranie, obuwie, odzież ochronną oraz środki ochrony indywidualnej odpowiednio do wykonywanej pracy.</w:t>
      </w:r>
    </w:p>
    <w:p w14:paraId="71514892" w14:textId="77777777" w:rsidR="00556173" w:rsidRPr="00203694" w:rsidRDefault="00556173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</w:p>
    <w:p w14:paraId="5659FE73" w14:textId="77777777" w:rsidR="00D1038B" w:rsidRPr="00203694" w:rsidRDefault="00D1038B" w:rsidP="00556173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lang w:val="pl-PL" w:eastAsia="pl-PL"/>
        </w:rPr>
      </w:pPr>
      <w:r w:rsidRPr="00203694">
        <w:rPr>
          <w:rFonts w:ascii="Calibri" w:eastAsia="Times New Roman" w:hAnsi="Calibri" w:cs="Calibri"/>
          <w:b/>
          <w:lang w:val="pl-PL" w:eastAsia="pl-PL"/>
        </w:rPr>
        <w:t>CZYNNOŚCI PRZED PRZYSTĄPIENIEM DO PRACY:</w:t>
      </w:r>
    </w:p>
    <w:p w14:paraId="558373E4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1.Przed uruchomieniem silnika agregatu należy zapoznać się z instrukcją agregatu oraz z załączoną instrukcją obsługi silnika napędzającego. Należy stosować się do zawartych w obu instrukcjach zaleceń i ostrzeżeń.</w:t>
      </w:r>
    </w:p>
    <w:p w14:paraId="2F01E42C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2.Ustawić agregat w odległości minimum 1 m od konstrukcji stalowych czy innych urządzeń.</w:t>
      </w:r>
    </w:p>
    <w:p w14:paraId="769B2680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3.Sprawdzić, czy nie ma widocznych zewnętrznych uszkodzeń agregatu. W przypadku ich stwierdzenia zgłosić je przełożonemu.</w:t>
      </w:r>
    </w:p>
    <w:p w14:paraId="3920F762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4.Sprawdzić stan techniczny agregatu, zwracając szczególną uwagę na:</w:t>
      </w:r>
    </w:p>
    <w:p w14:paraId="40BF403F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- pewność mocowania osłon urządzenia;</w:t>
      </w:r>
    </w:p>
    <w:p w14:paraId="04107BF8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- stan tablicy rozdzielczej, gniazd wtykowych, gniazd bezpieczników i wyłączników oraz wskaźników i izolacji</w:t>
      </w:r>
      <w:r w:rsidR="00B52349" w:rsidRPr="00203694">
        <w:rPr>
          <w:rFonts w:ascii="Calibri" w:eastAsia="Times New Roman" w:hAnsi="Calibri" w:cs="Calibri"/>
          <w:lang w:val="pl-PL" w:eastAsia="pl-PL"/>
        </w:rPr>
        <w:t xml:space="preserve"> </w:t>
      </w:r>
      <w:r w:rsidRPr="00203694">
        <w:rPr>
          <w:rFonts w:ascii="Calibri" w:eastAsia="Times New Roman" w:hAnsi="Calibri" w:cs="Calibri"/>
          <w:lang w:val="pl-PL" w:eastAsia="pl-PL"/>
        </w:rPr>
        <w:t>przewodów;</w:t>
      </w:r>
    </w:p>
    <w:p w14:paraId="07708CB9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- sprawność uchwytów do mocowania uziomu.</w:t>
      </w:r>
    </w:p>
    <w:p w14:paraId="03D34E75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5.Sprawdzić stan paliwa i uzupełnić jego brak w zbiorniku. Tankować zbiornik zawsze na otwartym powietrzu. Paliwo tankować przy wyłączonym silniku. Sprawdzić dokręcenie nakrętki wlewu paliwa po tankowaniu. Okresowo, poprzez oględziny, kontrolować przewody paliwowe pod względem ich szczelności.</w:t>
      </w:r>
    </w:p>
    <w:p w14:paraId="5C758949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6.Przed uruchomieniem agregatu należy upewnić się, czy uruchomienie nie grozi wypadkiem i czy nie spowoduje zagrożenia dla innych pracowników lub osób znajdujących się w pobliżu maszyny.</w:t>
      </w:r>
    </w:p>
    <w:p w14:paraId="2420AADC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7.Ustawić agregat na równej i twardej powietrzni w czystym otoczeniu. Nie dopuszczać do pracy agregatu przechylonego</w:t>
      </w:r>
      <w:r w:rsidR="00B52349" w:rsidRPr="00203694">
        <w:rPr>
          <w:rFonts w:ascii="Calibri" w:eastAsia="Times New Roman" w:hAnsi="Calibri" w:cs="Calibri"/>
          <w:lang w:val="pl-PL" w:eastAsia="pl-PL"/>
        </w:rPr>
        <w:t xml:space="preserve"> </w:t>
      </w:r>
      <w:r w:rsidRPr="00203694">
        <w:rPr>
          <w:rFonts w:ascii="Calibri" w:eastAsia="Times New Roman" w:hAnsi="Calibri" w:cs="Calibri"/>
          <w:lang w:val="pl-PL" w:eastAsia="pl-PL"/>
        </w:rPr>
        <w:t>więcej niż 20 stopni. Większe przechylenie może spowodować wylanie paliwa lub niewłaściwe smarowanie silnika i uszkodzenie agregatu.</w:t>
      </w:r>
    </w:p>
    <w:p w14:paraId="14477EA2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8.Zapewnić bliski dostęp do gaśnicy typu B.</w:t>
      </w:r>
    </w:p>
    <w:p w14:paraId="15D1D5FC" w14:textId="77777777" w:rsidR="00346318" w:rsidRPr="00203694" w:rsidRDefault="00346318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</w:p>
    <w:p w14:paraId="2E0AE2D0" w14:textId="77777777" w:rsidR="00D1038B" w:rsidRPr="00203694" w:rsidRDefault="00D1038B" w:rsidP="00556173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lang w:val="pl-PL" w:eastAsia="pl-PL"/>
        </w:rPr>
      </w:pPr>
      <w:r w:rsidRPr="00203694">
        <w:rPr>
          <w:rFonts w:ascii="Calibri" w:eastAsia="Times New Roman" w:hAnsi="Calibri" w:cs="Calibri"/>
          <w:b/>
          <w:lang w:val="pl-PL" w:eastAsia="pl-PL"/>
        </w:rPr>
        <w:t>ZASADY I SPOSOBY BEZPIECZNEGO WYKONANIA PRACY:</w:t>
      </w:r>
    </w:p>
    <w:p w14:paraId="72AC1D3A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1.Uruchomić agregat i w czasie pracy na biegu jałowym sprawdzić prawidłowości jego pracy. Nigdy nie wolno uruchamiać agregatu, gdy urządzenia są do niego podłączone.</w:t>
      </w:r>
    </w:p>
    <w:p w14:paraId="4FEA27D7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2.Stwierdzone w toku próbnego rozruchu usterki lub nieprawidłowości w pracy agregatu zgłosić natychmiast przełożonemu.</w:t>
      </w:r>
    </w:p>
    <w:p w14:paraId="650740FD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3.Po uruchomieniu należy poczekać, aż ustabilizują się obroty i dopiero wtedy można włączyć odbiorniki.</w:t>
      </w:r>
    </w:p>
    <w:p w14:paraId="62551A9A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 xml:space="preserve">4.Podłączyć przewody zasilanych urządzeń do gniazd wtykowych tablicy rozdzielczej i włączyć zasilanie elektryczne. </w:t>
      </w:r>
    </w:p>
    <w:p w14:paraId="75EA66F9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 xml:space="preserve">Podczas podłączania napięcia do sieci zasilającej używać przygotowanych wcześniej środków ochrony indywidualnej (rękawic i butów dielektrycznych). </w:t>
      </w:r>
    </w:p>
    <w:p w14:paraId="3C7D6747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5.Nadzorować pracę silnika i w razie stwierdzenia niesprawności sygnalizowanych przez wskaźnik agregatu natychmiast odłączyć zasilanie elektryczne i wyłączyć silnik.</w:t>
      </w:r>
    </w:p>
    <w:p w14:paraId="31EFDC58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lastRenderedPageBreak/>
        <w:t>6.Nie wolno przeciążać generatora. Łączna moc zasilanych urządzeń nie może przekroczyć mocy znamionowej generatora.</w:t>
      </w:r>
    </w:p>
    <w:p w14:paraId="59E4F5BB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7.Nie wolno zmieniać prędkości obrotowej silnika ustawionej przez producenta.</w:t>
      </w:r>
    </w:p>
    <w:p w14:paraId="3FB3F800" w14:textId="77777777" w:rsidR="00C7414F" w:rsidRPr="00203694" w:rsidRDefault="00C7414F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</w:p>
    <w:p w14:paraId="763DF582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8.W razie konieczności wymiany bezpiecznika:</w:t>
      </w:r>
    </w:p>
    <w:p w14:paraId="42007071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- wyłączyć agregat, ustalić, co jest przyczyną przeciążenia sieci zasilającej;</w:t>
      </w:r>
    </w:p>
    <w:p w14:paraId="25E66E67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- stosować bezpieczniki zgodnie z wartościami podanymi na schematach.</w:t>
      </w:r>
    </w:p>
    <w:p w14:paraId="1426269C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9.W czasie obsługiwania agregatu nie pozwalać na palenie tytoniu oraz zbliżanie się do agregatu z otwartym ogniem obsłudze i osobom postronnym.</w:t>
      </w:r>
    </w:p>
    <w:p w14:paraId="16A3E333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10.Nie wolno dopuszczać do stanowiska pracy osób nieupoważnionych.</w:t>
      </w:r>
    </w:p>
    <w:p w14:paraId="284FDBAB" w14:textId="77777777" w:rsidR="00346318" w:rsidRPr="00203694" w:rsidRDefault="00346318" w:rsidP="00D1038B">
      <w:pPr>
        <w:spacing w:after="0" w:line="240" w:lineRule="auto"/>
        <w:rPr>
          <w:rFonts w:ascii="Calibri" w:eastAsia="Times New Roman" w:hAnsi="Calibri" w:cs="Calibri"/>
          <w:b/>
          <w:lang w:val="pl-PL" w:eastAsia="pl-PL"/>
        </w:rPr>
      </w:pPr>
    </w:p>
    <w:p w14:paraId="1AAAF52F" w14:textId="77777777" w:rsidR="00D1038B" w:rsidRPr="00203694" w:rsidRDefault="00D1038B" w:rsidP="00556173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lang w:val="pl-PL" w:eastAsia="pl-PL"/>
        </w:rPr>
      </w:pPr>
      <w:r w:rsidRPr="00203694">
        <w:rPr>
          <w:rFonts w:ascii="Calibri" w:eastAsia="Times New Roman" w:hAnsi="Calibri" w:cs="Calibri"/>
          <w:b/>
          <w:lang w:val="pl-PL" w:eastAsia="pl-PL"/>
        </w:rPr>
        <w:t>CZYNNOŚCI PO ZAKOŃCZENIU PRACY:</w:t>
      </w:r>
    </w:p>
    <w:p w14:paraId="2B8CB92F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1.Wyłączyć zasilanie zespołu prądotwórczego i odłączyć przewody zasilanych urządzeń. Wyłączenie urządzeń i instalacji</w:t>
      </w:r>
      <w:r w:rsidR="00556173" w:rsidRPr="00203694">
        <w:rPr>
          <w:rFonts w:ascii="Calibri" w:eastAsia="Times New Roman" w:hAnsi="Calibri" w:cs="Calibri"/>
          <w:lang w:val="pl-PL" w:eastAsia="pl-PL"/>
        </w:rPr>
        <w:t xml:space="preserve"> </w:t>
      </w:r>
      <w:r w:rsidRPr="00203694">
        <w:rPr>
          <w:rFonts w:ascii="Calibri" w:eastAsia="Times New Roman" w:hAnsi="Calibri" w:cs="Calibri"/>
          <w:lang w:val="pl-PL" w:eastAsia="pl-PL"/>
        </w:rPr>
        <w:t>elektrycznych spod napięcia może być dokonane w taki sposób, aby uzyskać przerwę izolacyjną w obwodach zasilających urządzenia i instalacje.</w:t>
      </w:r>
    </w:p>
    <w:p w14:paraId="50A900E3" w14:textId="77777777" w:rsidR="00556173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2.Z transportem, przemieszczaniem agregatu zaczekać do czasu ostygnięcia elementów silnika i układu wydechowego.</w:t>
      </w:r>
    </w:p>
    <w:p w14:paraId="7E93E2DF" w14:textId="77777777" w:rsidR="00D1038B" w:rsidRPr="00203694" w:rsidRDefault="00D1038B" w:rsidP="00C7414F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3.Wykonywać czynności obsługowe lub konserwacyjne zgodnie z plane</w:t>
      </w:r>
      <w:r w:rsidR="00C7414F" w:rsidRPr="00203694">
        <w:rPr>
          <w:rFonts w:ascii="Calibri" w:eastAsia="Times New Roman" w:hAnsi="Calibri" w:cs="Calibri"/>
          <w:lang w:val="pl-PL" w:eastAsia="pl-PL"/>
        </w:rPr>
        <w:t>m obsługiwania lub konserwacji.</w:t>
      </w:r>
    </w:p>
    <w:p w14:paraId="0A73801F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4.Przed przystąpieniem do wykonania czynności obsługiwania bieżącego lub konserwacji agregatu należy upewnić się, czy:</w:t>
      </w:r>
    </w:p>
    <w:p w14:paraId="0C06E986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-ostygły elementy układu wydechowego;</w:t>
      </w:r>
    </w:p>
    <w:p w14:paraId="00397F5E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-odłączone jest zasilanie elektryczne.</w:t>
      </w:r>
    </w:p>
    <w:p w14:paraId="38D7E9C7" w14:textId="77777777" w:rsidR="00346318" w:rsidRPr="00203694" w:rsidRDefault="00346318" w:rsidP="00346318">
      <w:pPr>
        <w:spacing w:after="0" w:line="240" w:lineRule="auto"/>
        <w:rPr>
          <w:rFonts w:ascii="Calibri" w:eastAsia="Times New Roman" w:hAnsi="Calibri" w:cs="Calibri"/>
          <w:b/>
          <w:lang w:val="pl-PL" w:eastAsia="pl-PL"/>
        </w:rPr>
      </w:pPr>
    </w:p>
    <w:p w14:paraId="4E304CB6" w14:textId="77777777" w:rsidR="00D1038B" w:rsidRPr="00203694" w:rsidRDefault="00D1038B" w:rsidP="00346318">
      <w:pPr>
        <w:pStyle w:val="Akapitzlist"/>
        <w:numPr>
          <w:ilvl w:val="0"/>
          <w:numId w:val="1"/>
        </w:numPr>
        <w:rPr>
          <w:rFonts w:ascii="Calibri" w:hAnsi="Calibri" w:cs="Calibri"/>
          <w:b/>
          <w:lang w:val="pl-PL" w:eastAsia="pl-PL"/>
        </w:rPr>
      </w:pPr>
      <w:r w:rsidRPr="00203694">
        <w:rPr>
          <w:rFonts w:ascii="Calibri" w:hAnsi="Calibri" w:cs="Calibri"/>
          <w:b/>
          <w:lang w:val="pl-PL" w:eastAsia="pl-PL"/>
        </w:rPr>
        <w:t>ZASADY POSTĘPOWANIA W SYTUACJACH AWARYJNYCH STWARZAJĄCYCH ZAGROŻENIA DLA ŻYCIA</w:t>
      </w:r>
      <w:r w:rsidR="00556173" w:rsidRPr="00203694">
        <w:rPr>
          <w:rFonts w:ascii="Calibri" w:hAnsi="Calibri" w:cs="Calibri"/>
          <w:b/>
          <w:lang w:val="pl-PL" w:eastAsia="pl-PL"/>
        </w:rPr>
        <w:t xml:space="preserve"> </w:t>
      </w:r>
      <w:r w:rsidRPr="00203694">
        <w:rPr>
          <w:rFonts w:ascii="Calibri" w:hAnsi="Calibri" w:cs="Calibri"/>
          <w:b/>
          <w:lang w:val="pl-PL" w:eastAsia="pl-PL"/>
        </w:rPr>
        <w:t>LUB ZDROWIA PRACOWNIKÓW:</w:t>
      </w:r>
    </w:p>
    <w:p w14:paraId="2DFBCD0B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1.W razie awarii natychmiast odłączyć zasilanie elektryczne i unieruchomić silnik agregatu.</w:t>
      </w:r>
    </w:p>
    <w:p w14:paraId="2FF5DA31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 xml:space="preserve">2.Po stwierdzeniu niewłaściwego działania agregatu lub jego podzespołów unieruchomić zasilanie elektryczne i silnik agregatu oraz powiadomić o tym przełożonego. </w:t>
      </w:r>
    </w:p>
    <w:p w14:paraId="05C05050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3.W przypadku konieczności pozostawienia agregatu w czasie pracy bez nadzoru wyłączyć i unieruchomić urządzenie.</w:t>
      </w:r>
    </w:p>
    <w:p w14:paraId="3DD5BD9E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 xml:space="preserve">4.W razie wypadku przy pracy wyłączyć agregat: </w:t>
      </w:r>
    </w:p>
    <w:p w14:paraId="4BD824D9" w14:textId="77777777" w:rsidR="00D1038B" w:rsidRPr="00203694" w:rsidRDefault="00556173" w:rsidP="007417F8">
      <w:pPr>
        <w:pStyle w:val="Akapitzlist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Zgłosić</w:t>
      </w:r>
      <w:r w:rsidR="00D1038B" w:rsidRPr="00203694">
        <w:rPr>
          <w:rFonts w:ascii="Calibri" w:eastAsia="Times New Roman" w:hAnsi="Calibri" w:cs="Calibri"/>
          <w:lang w:val="pl-PL" w:eastAsia="pl-PL"/>
        </w:rPr>
        <w:t xml:space="preserve"> fakt wypadku przełożonemu;</w:t>
      </w:r>
    </w:p>
    <w:p w14:paraId="3E0A797D" w14:textId="77777777" w:rsidR="00D1038B" w:rsidRPr="00203694" w:rsidRDefault="00556173" w:rsidP="007417F8">
      <w:pPr>
        <w:pStyle w:val="Akapitzlist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Pozostawić</w:t>
      </w:r>
      <w:r w:rsidR="00D1038B" w:rsidRPr="00203694">
        <w:rPr>
          <w:rFonts w:ascii="Calibri" w:eastAsia="Times New Roman" w:hAnsi="Calibri" w:cs="Calibri"/>
          <w:lang w:val="pl-PL" w:eastAsia="pl-PL"/>
        </w:rPr>
        <w:t xml:space="preserve"> stanowisko pracy w takim stanie, w jakim wydarzył się wypadek;</w:t>
      </w:r>
    </w:p>
    <w:p w14:paraId="32E39664" w14:textId="77777777" w:rsidR="00D1038B" w:rsidRPr="00203694" w:rsidRDefault="00556173" w:rsidP="007417F8">
      <w:pPr>
        <w:pStyle w:val="Akapitzlist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Nie</w:t>
      </w:r>
      <w:r w:rsidR="00D1038B" w:rsidRPr="00203694">
        <w:rPr>
          <w:rFonts w:ascii="Calibri" w:eastAsia="Times New Roman" w:hAnsi="Calibri" w:cs="Calibri"/>
          <w:lang w:val="pl-PL" w:eastAsia="pl-PL"/>
        </w:rPr>
        <w:t xml:space="preserve"> uruchamiać agregatu po wypadku bez polecenia przełożonego.</w:t>
      </w:r>
    </w:p>
    <w:p w14:paraId="600D35F8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5.W przypadku występowania wątpliwości, co do sposobu wykonywania pracy, pracę należy przerwać i zwrócić się o wytyczne do przełożonego.</w:t>
      </w:r>
    </w:p>
    <w:p w14:paraId="75DC5B69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6.W razie pożaru wyłączyć zasilanie agregatu i innych urządzeń. Postępować zgodnie z instrukcją postępowania na wypadek pożaru. W razie niemożności ugaszenia pożaru ewakuować się w wyznaczone bezpieczne miejsce.</w:t>
      </w:r>
    </w:p>
    <w:p w14:paraId="21ABAFB3" w14:textId="77777777" w:rsidR="00556173" w:rsidRPr="00203694" w:rsidRDefault="00556173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</w:p>
    <w:p w14:paraId="528036E0" w14:textId="77777777" w:rsidR="00372FB2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b/>
          <w:lang w:val="pl-PL" w:eastAsia="pl-PL"/>
        </w:rPr>
        <w:t>UWAGA</w:t>
      </w:r>
      <w:r w:rsidR="00556173" w:rsidRPr="00203694">
        <w:rPr>
          <w:rFonts w:ascii="Calibri" w:eastAsia="Times New Roman" w:hAnsi="Calibri" w:cs="Calibri"/>
          <w:b/>
          <w:lang w:val="pl-PL" w:eastAsia="pl-PL"/>
        </w:rPr>
        <w:t>:</w:t>
      </w:r>
      <w:r w:rsidR="00556173" w:rsidRPr="00203694">
        <w:rPr>
          <w:rFonts w:ascii="Calibri" w:eastAsia="Times New Roman" w:hAnsi="Calibri" w:cs="Calibri"/>
          <w:lang w:val="pl-PL" w:eastAsia="pl-PL"/>
        </w:rPr>
        <w:t xml:space="preserve"> </w:t>
      </w:r>
    </w:p>
    <w:p w14:paraId="1BC608D8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 xml:space="preserve">Każdy zaistniały wypadek przy pracy należy natychmiast zgłosić swojemu bezpośredniemu przełożonemu. </w:t>
      </w:r>
    </w:p>
    <w:p w14:paraId="174DF54D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  <w:r w:rsidRPr="00203694">
        <w:rPr>
          <w:rFonts w:ascii="Calibri" w:eastAsia="Times New Roman" w:hAnsi="Calibri" w:cs="Calibri"/>
          <w:lang w:val="pl-PL" w:eastAsia="pl-PL"/>
        </w:rPr>
        <w:t>W razie zaistnienia wypadku przy pracy należy w pierwszej kolejności udzielić pomocy przedlekarskiej osobom</w:t>
      </w:r>
      <w:r w:rsidR="00556173" w:rsidRPr="00203694">
        <w:rPr>
          <w:rFonts w:ascii="Calibri" w:eastAsia="Times New Roman" w:hAnsi="Calibri" w:cs="Calibri"/>
          <w:lang w:val="pl-PL" w:eastAsia="pl-PL"/>
        </w:rPr>
        <w:t xml:space="preserve"> </w:t>
      </w:r>
      <w:r w:rsidRPr="00203694">
        <w:rPr>
          <w:rFonts w:ascii="Calibri" w:eastAsia="Times New Roman" w:hAnsi="Calibri" w:cs="Calibri"/>
          <w:lang w:val="pl-PL" w:eastAsia="pl-PL"/>
        </w:rPr>
        <w:t>poszkodowanym i zabezpieczyć stanowisko, aby pozostało w takim stanie, w jakim nastąpił wypadek, aż do czasu przybycia</w:t>
      </w:r>
      <w:r w:rsidR="00556173" w:rsidRPr="00203694">
        <w:rPr>
          <w:rFonts w:ascii="Calibri" w:eastAsia="Times New Roman" w:hAnsi="Calibri" w:cs="Calibri"/>
          <w:lang w:val="pl-PL" w:eastAsia="pl-PL"/>
        </w:rPr>
        <w:t xml:space="preserve"> </w:t>
      </w:r>
      <w:r w:rsidRPr="00203694">
        <w:rPr>
          <w:rFonts w:ascii="Calibri" w:eastAsia="Times New Roman" w:hAnsi="Calibri" w:cs="Calibri"/>
          <w:lang w:val="pl-PL" w:eastAsia="pl-PL"/>
        </w:rPr>
        <w:t xml:space="preserve">zespołu </w:t>
      </w:r>
      <w:r w:rsidR="00556173" w:rsidRPr="00203694">
        <w:rPr>
          <w:rFonts w:ascii="Calibri" w:eastAsia="Times New Roman" w:hAnsi="Calibri" w:cs="Calibri"/>
          <w:lang w:val="pl-PL" w:eastAsia="pl-PL"/>
        </w:rPr>
        <w:t>powypadkowego</w:t>
      </w:r>
    </w:p>
    <w:p w14:paraId="24C8529B" w14:textId="77777777" w:rsidR="009E6ECE" w:rsidRPr="00203694" w:rsidRDefault="009E6ECE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</w:p>
    <w:p w14:paraId="3415D0A9" w14:textId="77777777" w:rsidR="009E6ECE" w:rsidRPr="00203694" w:rsidRDefault="009E6ECE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</w:p>
    <w:p w14:paraId="43F2C0C1" w14:textId="77777777" w:rsidR="00D1038B" w:rsidRPr="00203694" w:rsidRDefault="00D1038B" w:rsidP="00D1038B">
      <w:pPr>
        <w:spacing w:after="0" w:line="240" w:lineRule="auto"/>
        <w:rPr>
          <w:rFonts w:ascii="Calibri" w:eastAsia="Times New Roman" w:hAnsi="Calibri" w:cs="Calibri"/>
          <w:lang w:val="pl-PL" w:eastAsia="pl-PL"/>
        </w:rPr>
      </w:pPr>
    </w:p>
    <w:tbl>
      <w:tblPr>
        <w:tblStyle w:val="Tabela-Siatka"/>
        <w:tblW w:w="102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5"/>
        <w:gridCol w:w="3853"/>
      </w:tblGrid>
      <w:tr w:rsidR="006426A3" w:rsidRPr="00203694" w14:paraId="3138874E" w14:textId="77777777" w:rsidTr="00A639EA">
        <w:trPr>
          <w:trHeight w:val="269"/>
        </w:trPr>
        <w:tc>
          <w:tcPr>
            <w:tcW w:w="6425" w:type="dxa"/>
          </w:tcPr>
          <w:p w14:paraId="52D99264" w14:textId="77777777" w:rsidR="006426A3" w:rsidRPr="00203694" w:rsidRDefault="006426A3" w:rsidP="006426A3">
            <w:pPr>
              <w:rPr>
                <w:rFonts w:ascii="Calibri" w:eastAsia="Times New Roman" w:hAnsi="Calibri" w:cs="Calibri"/>
                <w:snapToGrid w:val="0"/>
                <w:color w:val="000000"/>
                <w:sz w:val="23"/>
                <w:szCs w:val="23"/>
                <w:lang w:val="pl-PL" w:eastAsia="pl-PL"/>
              </w:rPr>
            </w:pPr>
            <w:r w:rsidRPr="00203694">
              <w:rPr>
                <w:rFonts w:ascii="Calibri" w:eastAsia="Times New Roman" w:hAnsi="Calibri" w:cs="Calibri"/>
                <w:snapToGrid w:val="0"/>
                <w:color w:val="000000"/>
                <w:sz w:val="23"/>
                <w:szCs w:val="23"/>
                <w:lang w:val="pl-PL" w:eastAsia="pl-PL"/>
              </w:rPr>
              <w:t xml:space="preserve">OPRACOWAŁ   </w:t>
            </w:r>
          </w:p>
        </w:tc>
        <w:tc>
          <w:tcPr>
            <w:tcW w:w="3853" w:type="dxa"/>
          </w:tcPr>
          <w:p w14:paraId="7FD1DDD7" w14:textId="77777777" w:rsidR="006426A3" w:rsidRPr="00203694" w:rsidRDefault="006426A3" w:rsidP="006426A3">
            <w:pPr>
              <w:rPr>
                <w:rFonts w:ascii="Calibri" w:eastAsia="Times New Roman" w:hAnsi="Calibri" w:cs="Calibri"/>
                <w:snapToGrid w:val="0"/>
                <w:color w:val="000000"/>
                <w:sz w:val="23"/>
                <w:szCs w:val="23"/>
                <w:lang w:val="pl-PL" w:eastAsia="pl-PL"/>
              </w:rPr>
            </w:pPr>
            <w:r w:rsidRPr="00203694">
              <w:rPr>
                <w:rFonts w:ascii="Calibri" w:eastAsia="Times New Roman" w:hAnsi="Calibri" w:cs="Calibri"/>
                <w:snapToGrid w:val="0"/>
                <w:color w:val="000000"/>
                <w:sz w:val="23"/>
                <w:szCs w:val="23"/>
                <w:lang w:val="pl-PL" w:eastAsia="pl-PL"/>
              </w:rPr>
              <w:t>ZATWIERDZIŁ</w:t>
            </w:r>
          </w:p>
        </w:tc>
      </w:tr>
      <w:tr w:rsidR="006426A3" w:rsidRPr="00203694" w14:paraId="2F89F442" w14:textId="77777777" w:rsidTr="00A639EA">
        <w:trPr>
          <w:trHeight w:val="284"/>
        </w:trPr>
        <w:tc>
          <w:tcPr>
            <w:tcW w:w="6425" w:type="dxa"/>
          </w:tcPr>
          <w:p w14:paraId="60AB7B19" w14:textId="77777777" w:rsidR="006426A3" w:rsidRPr="00203694" w:rsidRDefault="006426A3" w:rsidP="006426A3">
            <w:pPr>
              <w:rPr>
                <w:rFonts w:ascii="Calibri" w:eastAsia="Times New Roman" w:hAnsi="Calibri" w:cs="Calibri"/>
                <w:snapToGrid w:val="0"/>
                <w:color w:val="000000"/>
                <w:sz w:val="23"/>
                <w:szCs w:val="23"/>
                <w:lang w:val="pl-PL" w:eastAsia="pl-PL"/>
              </w:rPr>
            </w:pPr>
            <w:r w:rsidRPr="00203694">
              <w:rPr>
                <w:rFonts w:ascii="Calibri" w:eastAsia="Times New Roman" w:hAnsi="Calibri" w:cs="Calibri"/>
                <w:snapToGrid w:val="0"/>
                <w:color w:val="000000"/>
                <w:sz w:val="23"/>
                <w:szCs w:val="23"/>
                <w:lang w:val="pl-PL" w:eastAsia="pl-PL"/>
              </w:rPr>
              <w:lastRenderedPageBreak/>
              <w:t>……………………..</w:t>
            </w:r>
          </w:p>
        </w:tc>
        <w:tc>
          <w:tcPr>
            <w:tcW w:w="3853" w:type="dxa"/>
          </w:tcPr>
          <w:p w14:paraId="2D9E5E07" w14:textId="77777777" w:rsidR="006426A3" w:rsidRPr="00203694" w:rsidRDefault="006426A3" w:rsidP="006426A3">
            <w:pPr>
              <w:rPr>
                <w:rFonts w:ascii="Calibri" w:eastAsia="Times New Roman" w:hAnsi="Calibri" w:cs="Calibri"/>
                <w:snapToGrid w:val="0"/>
                <w:color w:val="000000"/>
                <w:sz w:val="23"/>
                <w:szCs w:val="23"/>
                <w:lang w:val="pl-PL" w:eastAsia="pl-PL"/>
              </w:rPr>
            </w:pPr>
            <w:r w:rsidRPr="00203694">
              <w:rPr>
                <w:rFonts w:ascii="Calibri" w:eastAsia="Times New Roman" w:hAnsi="Calibri" w:cs="Calibri"/>
                <w:snapToGrid w:val="0"/>
                <w:color w:val="000000"/>
                <w:sz w:val="23"/>
                <w:szCs w:val="23"/>
                <w:lang w:val="pl-PL" w:eastAsia="pl-PL"/>
              </w:rPr>
              <w:t>………………………….</w:t>
            </w:r>
          </w:p>
        </w:tc>
      </w:tr>
    </w:tbl>
    <w:p w14:paraId="5A6C46EA" w14:textId="77777777" w:rsidR="003C1F13" w:rsidRPr="00203694" w:rsidRDefault="003C1F13">
      <w:pPr>
        <w:rPr>
          <w:rFonts w:ascii="Calibri" w:hAnsi="Calibri" w:cs="Calibri"/>
        </w:rPr>
      </w:pPr>
    </w:p>
    <w:sectPr w:rsidR="002359D4" w:rsidRPr="00203694" w:rsidSect="00B52349">
      <w:pgSz w:w="11906" w:h="16838"/>
      <w:pgMar w:top="1417" w:right="1417" w:bottom="1417" w:left="1417" w:header="708" w:footer="708" w:gutter="0"/>
      <w:pgBorders w:offsetFrom="page">
        <w:top w:val="thickThinMediumGap" w:sz="48" w:space="24" w:color="FFFF00"/>
        <w:left w:val="thickThinMediumGap" w:sz="48" w:space="24" w:color="FFFF00"/>
        <w:bottom w:val="thinThickMediumGap" w:sz="48" w:space="24" w:color="FFFF00"/>
        <w:right w:val="thinThickMedium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039F"/>
    <w:multiLevelType w:val="hybridMultilevel"/>
    <w:tmpl w:val="D5B05DE6"/>
    <w:lvl w:ilvl="0" w:tplc="86F4AB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07F82"/>
    <w:multiLevelType w:val="hybridMultilevel"/>
    <w:tmpl w:val="93F6CEB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13718"/>
    <w:multiLevelType w:val="hybridMultilevel"/>
    <w:tmpl w:val="03D42E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1A3F42"/>
    <w:multiLevelType w:val="hybridMultilevel"/>
    <w:tmpl w:val="DBD4FC8A"/>
    <w:lvl w:ilvl="0" w:tplc="86F4AB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4972A8"/>
    <w:multiLevelType w:val="hybridMultilevel"/>
    <w:tmpl w:val="F0360D52"/>
    <w:lvl w:ilvl="0" w:tplc="86F4AB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802811"/>
    <w:multiLevelType w:val="hybridMultilevel"/>
    <w:tmpl w:val="AC747B54"/>
    <w:lvl w:ilvl="0" w:tplc="86F4AB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1587466">
    <w:abstractNumId w:val="1"/>
  </w:num>
  <w:num w:numId="2" w16cid:durableId="1909419699">
    <w:abstractNumId w:val="3"/>
  </w:num>
  <w:num w:numId="3" w16cid:durableId="551230305">
    <w:abstractNumId w:val="5"/>
  </w:num>
  <w:num w:numId="4" w16cid:durableId="1689717753">
    <w:abstractNumId w:val="0"/>
  </w:num>
  <w:num w:numId="5" w16cid:durableId="1503083462">
    <w:abstractNumId w:val="4"/>
  </w:num>
  <w:num w:numId="6" w16cid:durableId="6338699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A33"/>
    <w:rsid w:val="00087C9F"/>
    <w:rsid w:val="00203694"/>
    <w:rsid w:val="00346318"/>
    <w:rsid w:val="00372FB2"/>
    <w:rsid w:val="004B67DB"/>
    <w:rsid w:val="00556173"/>
    <w:rsid w:val="006426A3"/>
    <w:rsid w:val="007417F8"/>
    <w:rsid w:val="009E6ECE"/>
    <w:rsid w:val="00B52349"/>
    <w:rsid w:val="00C033F9"/>
    <w:rsid w:val="00C7414F"/>
    <w:rsid w:val="00CE7B24"/>
    <w:rsid w:val="00D1038B"/>
    <w:rsid w:val="00D26A33"/>
    <w:rsid w:val="00DE7789"/>
    <w:rsid w:val="00E3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DEE48"/>
  <w15:chartTrackingRefBased/>
  <w15:docId w15:val="{0CE2E904-D6AB-4B6E-A9CF-9587EE884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6173"/>
    <w:pPr>
      <w:ind w:left="720"/>
      <w:contextualSpacing/>
    </w:pPr>
  </w:style>
  <w:style w:type="table" w:styleId="Tabela-Siatka">
    <w:name w:val="Table Grid"/>
    <w:basedOn w:val="Standardowy"/>
    <w:uiPriority w:val="39"/>
    <w:rsid w:val="00642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8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3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99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5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6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40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77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55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0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19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68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00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3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30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04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0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08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10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7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58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59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9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80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10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56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15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74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52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9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31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6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12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7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07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82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9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58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8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38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59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6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29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57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3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77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16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02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49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61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73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09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49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53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32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73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76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19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47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60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24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40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82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4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81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50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27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73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66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8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3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68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99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40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61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04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83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17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0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91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70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75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9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468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1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1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3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4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0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1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1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806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2026-09-25T05:35:00Z</dcterms:created>
  <dcterms:modified xsi:type="dcterms:W3CDTF">2026-09-25T05:35:00Z</dcterms:modified>
</cp:coreProperties>
</file>